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3CDA8" w14:textId="436B74D5" w:rsidR="00226C10" w:rsidRPr="008733A1" w:rsidRDefault="00226C10" w:rsidP="008733A1">
      <w:pPr>
        <w:tabs>
          <w:tab w:val="left" w:pos="1985"/>
        </w:tabs>
        <w:spacing w:before="240" w:after="0"/>
        <w:ind w:right="531"/>
        <w:jc w:val="both"/>
        <w:rPr>
          <w:rFonts w:ascii="Arial" w:hAnsi="Arial" w:cs="Arial"/>
          <w:b/>
          <w:sz w:val="22"/>
          <w:szCs w:val="22"/>
        </w:rPr>
      </w:pPr>
      <w:bookmarkStart w:id="0" w:name="_Hlk67474238"/>
      <w:bookmarkEnd w:id="0"/>
      <w:r w:rsidRPr="008733A1">
        <w:rPr>
          <w:rFonts w:ascii="Arial" w:hAnsi="Arial" w:cs="Arial"/>
          <w:b/>
          <w:sz w:val="22"/>
          <w:szCs w:val="22"/>
        </w:rPr>
        <w:t>3GPP TSG RAN WG4 Meeting #117</w:t>
      </w:r>
      <w:r w:rsidRPr="008733A1">
        <w:rPr>
          <w:rFonts w:ascii="Arial" w:hAnsi="Arial" w:cs="Arial"/>
          <w:b/>
          <w:sz w:val="22"/>
          <w:szCs w:val="22"/>
        </w:rPr>
        <w:tab/>
        <w:t xml:space="preserve"> </w:t>
      </w:r>
      <w:r w:rsidR="008733A1" w:rsidRP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8733A1">
        <w:rPr>
          <w:rFonts w:ascii="Arial" w:hAnsi="Arial" w:cs="Arial"/>
          <w:b/>
          <w:sz w:val="22"/>
          <w:szCs w:val="22"/>
        </w:rPr>
        <w:tab/>
      </w:r>
      <w:r w:rsidR="006F54D1" w:rsidRPr="006F54D1">
        <w:rPr>
          <w:rFonts w:ascii="Arial" w:hAnsi="Arial" w:cs="Arial"/>
          <w:b/>
          <w:sz w:val="22"/>
          <w:szCs w:val="22"/>
        </w:rPr>
        <w:t>R4-2521920</w:t>
      </w:r>
    </w:p>
    <w:p w14:paraId="3A3586EA" w14:textId="77777777" w:rsidR="00226C10" w:rsidRPr="00B01A6A" w:rsidRDefault="00226C10" w:rsidP="008733A1">
      <w:pPr>
        <w:tabs>
          <w:tab w:val="left" w:pos="1985"/>
        </w:tabs>
        <w:spacing w:before="240" w:after="0"/>
        <w:ind w:right="531"/>
        <w:jc w:val="both"/>
        <w:rPr>
          <w:rFonts w:ascii="Arial" w:hAnsi="Arial" w:cs="Arial"/>
          <w:b/>
          <w:sz w:val="22"/>
          <w:szCs w:val="22"/>
          <w:lang w:val="sv-SE"/>
        </w:rPr>
      </w:pPr>
      <w:bookmarkStart w:id="1" w:name="_Hlk488924106"/>
      <w:bookmarkEnd w:id="1"/>
      <w:r w:rsidRPr="00B01A6A">
        <w:rPr>
          <w:rFonts w:ascii="Arial" w:hAnsi="Arial" w:cs="Arial"/>
          <w:b/>
          <w:sz w:val="22"/>
          <w:szCs w:val="22"/>
          <w:lang w:val="sv-SE"/>
        </w:rPr>
        <w:t>Dallas, USA, 17 Nov. 2025 – 21 Nov. 2025</w:t>
      </w:r>
    </w:p>
    <w:p w14:paraId="5DD118D4" w14:textId="056351B3" w:rsidR="00D80957" w:rsidRPr="00B01A6A" w:rsidRDefault="00D80957" w:rsidP="00CB3F45">
      <w:pPr>
        <w:tabs>
          <w:tab w:val="left" w:pos="1985"/>
        </w:tabs>
        <w:spacing w:before="240" w:after="0"/>
        <w:ind w:right="531"/>
        <w:jc w:val="both"/>
        <w:rPr>
          <w:rFonts w:ascii="Arial" w:hAnsi="Arial" w:cs="Arial"/>
          <w:bCs/>
          <w:sz w:val="22"/>
          <w:szCs w:val="22"/>
          <w:lang w:val="sv-SE"/>
        </w:rPr>
      </w:pPr>
      <w:r w:rsidRPr="00B01A6A">
        <w:rPr>
          <w:rFonts w:ascii="Arial" w:hAnsi="Arial" w:cs="Arial"/>
          <w:b/>
          <w:sz w:val="22"/>
          <w:szCs w:val="22"/>
          <w:lang w:val="sv-SE"/>
        </w:rPr>
        <w:t>Agenda Item:</w:t>
      </w:r>
      <w:r w:rsidRPr="00B01A6A">
        <w:rPr>
          <w:rFonts w:ascii="Arial" w:hAnsi="Arial" w:cs="Arial"/>
          <w:b/>
          <w:sz w:val="22"/>
          <w:szCs w:val="22"/>
          <w:lang w:val="sv-SE"/>
        </w:rPr>
        <w:tab/>
      </w:r>
      <w:r w:rsidR="008733A1" w:rsidRPr="00B01A6A">
        <w:rPr>
          <w:rFonts w:ascii="Arial" w:hAnsi="Arial" w:cs="Arial"/>
          <w:bCs/>
          <w:sz w:val="22"/>
          <w:szCs w:val="22"/>
          <w:lang w:val="sv-SE"/>
        </w:rPr>
        <w:t>6.1</w:t>
      </w:r>
      <w:r w:rsidR="00AD5589">
        <w:rPr>
          <w:rFonts w:ascii="Arial" w:hAnsi="Arial" w:cs="Arial"/>
          <w:bCs/>
          <w:sz w:val="22"/>
          <w:szCs w:val="22"/>
          <w:lang w:val="sv-SE"/>
        </w:rPr>
        <w:t>7</w:t>
      </w:r>
      <w:r w:rsidR="008733A1" w:rsidRPr="00B01A6A">
        <w:rPr>
          <w:rFonts w:ascii="Arial" w:hAnsi="Arial" w:cs="Arial"/>
          <w:bCs/>
          <w:sz w:val="22"/>
          <w:szCs w:val="22"/>
          <w:lang w:val="sv-SE"/>
        </w:rPr>
        <w:t>.2.</w:t>
      </w:r>
      <w:r w:rsidR="007B6F97" w:rsidRPr="00B01A6A">
        <w:rPr>
          <w:rFonts w:ascii="Arial" w:hAnsi="Arial" w:cs="Arial"/>
          <w:bCs/>
          <w:sz w:val="22"/>
          <w:szCs w:val="22"/>
          <w:lang w:val="sv-SE"/>
        </w:rPr>
        <w:t>1</w:t>
      </w:r>
    </w:p>
    <w:p w14:paraId="39B26804" w14:textId="7499A383"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r w:rsidR="00F03D58" w:rsidRPr="00802B38">
        <w:rPr>
          <w:rFonts w:ascii="Arial" w:hAnsi="Arial" w:cs="Arial"/>
          <w:b/>
          <w:sz w:val="22"/>
          <w:szCs w:val="22"/>
        </w:rPr>
        <w:t xml:space="preserve">: </w:t>
      </w:r>
      <w:r w:rsidR="00F03D58">
        <w:rPr>
          <w:rFonts w:ascii="Arial" w:hAnsi="Arial" w:cs="Arial"/>
          <w:b/>
          <w:sz w:val="22"/>
          <w:szCs w:val="22"/>
        </w:rPr>
        <w:tab/>
      </w:r>
      <w:r w:rsidR="00F03D58" w:rsidRPr="00802B38">
        <w:rPr>
          <w:rFonts w:ascii="Arial" w:hAnsi="Arial" w:cs="Arial"/>
          <w:b/>
          <w:sz w:val="22"/>
          <w:szCs w:val="22"/>
        </w:rPr>
        <w:t>Ericsson</w:t>
      </w:r>
    </w:p>
    <w:p w14:paraId="0C4D239E" w14:textId="11470AB0" w:rsidR="00D80957" w:rsidRPr="004F3D28"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7B6F97">
        <w:rPr>
          <w:rFonts w:ascii="Arial" w:hAnsi="Arial" w:cs="Arial"/>
          <w:sz w:val="22"/>
          <w:szCs w:val="22"/>
        </w:rPr>
        <w:t xml:space="preserve">Discussion on event triggered reporting </w:t>
      </w:r>
      <w:r w:rsidR="005865C2">
        <w:rPr>
          <w:rFonts w:ascii="Arial" w:hAnsi="Arial" w:cs="Arial"/>
          <w:sz w:val="22"/>
          <w:szCs w:val="22"/>
        </w:rPr>
        <w:t xml:space="preserve">test configurations </w:t>
      </w:r>
      <w:r w:rsidR="003715BC">
        <w:rPr>
          <w:rFonts w:ascii="Arial" w:hAnsi="Arial" w:cs="Arial"/>
          <w:sz w:val="22"/>
          <w:szCs w:val="22"/>
        </w:rPr>
        <w:t xml:space="preserve">for </w:t>
      </w:r>
      <w:r w:rsidR="00AD5589">
        <w:rPr>
          <w:rFonts w:ascii="Arial" w:hAnsi="Arial" w:cs="Arial"/>
          <w:sz w:val="22"/>
          <w:szCs w:val="22"/>
        </w:rPr>
        <w:t>Mobility Ph 4</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2" w:name="OLE_LINK13"/>
      <w:bookmarkStart w:id="3" w:name="OLE_LINK14"/>
    </w:p>
    <w:p w14:paraId="5F5F7916" w14:textId="7B1D37E2" w:rsidR="00795D6D" w:rsidRPr="005E61B7" w:rsidRDefault="00AA1328" w:rsidP="00EC1EA6">
      <w:r>
        <w:rPr>
          <w:lang w:val="x-none" w:eastAsia="x-none"/>
        </w:rPr>
        <w:t>In this contr</w:t>
      </w:r>
      <w:r w:rsidR="000D6311">
        <w:rPr>
          <w:lang w:val="x-none" w:eastAsia="x-none"/>
        </w:rPr>
        <w:t xml:space="preserve">ibution we discuss </w:t>
      </w:r>
      <w:r w:rsidR="00FA7B77">
        <w:rPr>
          <w:lang w:val="x-none" w:eastAsia="x-none"/>
        </w:rPr>
        <w:t xml:space="preserve">the </w:t>
      </w:r>
      <w:r w:rsidR="005865C2" w:rsidRPr="005865C2">
        <w:rPr>
          <w:lang w:val="x-none" w:eastAsia="x-none"/>
        </w:rPr>
        <w:t>event triggered reporting test configurations for MIMO Ph 5</w:t>
      </w:r>
      <w:r w:rsidR="0007605B">
        <w:rPr>
          <w:lang w:val="x-none" w:eastAsia="x-none"/>
        </w:rPr>
        <w:t>.</w:t>
      </w:r>
    </w:p>
    <w:p w14:paraId="46B976F3" w14:textId="77777777" w:rsidR="004E1614" w:rsidRDefault="00A17509" w:rsidP="004E1614">
      <w:pPr>
        <w:pStyle w:val="Heading1"/>
        <w:ind w:right="72"/>
        <w:rPr>
          <w:lang w:val="sv-SE"/>
        </w:rPr>
      </w:pPr>
      <w:r w:rsidRPr="002E3092">
        <w:rPr>
          <w:lang w:val="sv-SE"/>
        </w:rPr>
        <w:t>Discussion</w:t>
      </w:r>
    </w:p>
    <w:p w14:paraId="1A159CFE" w14:textId="50B2713F" w:rsidR="00FF3FDC" w:rsidRPr="001E1E92" w:rsidRDefault="00AD5589" w:rsidP="00FF3FDC">
      <w:pPr>
        <w:pStyle w:val="Heading2"/>
        <w:jc w:val="both"/>
        <w:rPr>
          <w:sz w:val="28"/>
          <w:szCs w:val="18"/>
          <w:lang w:val="en-GB"/>
        </w:rPr>
      </w:pPr>
      <w:r>
        <w:rPr>
          <w:sz w:val="28"/>
          <w:szCs w:val="18"/>
          <w:lang w:val="en-GB"/>
        </w:rPr>
        <w:t>E</w:t>
      </w:r>
      <w:r w:rsidR="00FF3FDC" w:rsidRPr="001E1E92">
        <w:rPr>
          <w:sz w:val="28"/>
          <w:szCs w:val="18"/>
          <w:lang w:val="en-GB"/>
        </w:rPr>
        <w:t xml:space="preserve">vent-driven beam management </w:t>
      </w:r>
    </w:p>
    <w:p w14:paraId="37B18B98" w14:textId="77777777" w:rsidR="00B01A6A" w:rsidRDefault="00B01A6A" w:rsidP="00B01A6A">
      <w:pPr>
        <w:pStyle w:val="ListParagraph"/>
        <w:ind w:left="360"/>
        <w:jc w:val="both"/>
        <w:rPr>
          <w:b/>
        </w:rPr>
      </w:pPr>
      <w:r w:rsidRPr="0052662A">
        <w:rPr>
          <w:b/>
        </w:rPr>
        <w:t>Test configuration:</w:t>
      </w:r>
    </w:p>
    <w:p w14:paraId="314526E1" w14:textId="77777777" w:rsidR="00B01A6A" w:rsidRDefault="00B01A6A" w:rsidP="00B01A6A">
      <w:pPr>
        <w:pStyle w:val="ListParagraph"/>
        <w:ind w:left="360"/>
        <w:jc w:val="both"/>
      </w:pPr>
    </w:p>
    <w:p w14:paraId="6E0D162D" w14:textId="04EC3194" w:rsidR="004841D5" w:rsidRDefault="00791831" w:rsidP="00B01A6A">
      <w:pPr>
        <w:pStyle w:val="ListParagraph"/>
        <w:ind w:left="360"/>
        <w:jc w:val="both"/>
      </w:pPr>
      <w:r w:rsidRPr="00791831">
        <w:t>For the event-triggered reporting delay requirements, the end point of the measurement period is defined as the first UL transmission, as per the core requirements listed below. According to RAN2, the UE may transmit the first UL either by sending an SR, a special purpose SR, or by using an existing UL grant.</w:t>
      </w:r>
      <w:r w:rsidR="00BA5D05">
        <w:t xml:space="preserve"> </w:t>
      </w:r>
    </w:p>
    <w:p w14:paraId="2CB32389" w14:textId="77777777" w:rsidR="001B2981" w:rsidRDefault="001B2981" w:rsidP="00B01A6A">
      <w:pPr>
        <w:pStyle w:val="ListParagraph"/>
        <w:ind w:left="360"/>
        <w:jc w:val="both"/>
      </w:pPr>
    </w:p>
    <w:tbl>
      <w:tblPr>
        <w:tblW w:w="10020"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B01A6A" w14:paraId="18DDFCD7" w14:textId="77777777" w:rsidTr="001B2981">
        <w:trPr>
          <w:trHeight w:val="1152"/>
        </w:trPr>
        <w:tc>
          <w:tcPr>
            <w:tcW w:w="10020" w:type="dxa"/>
          </w:tcPr>
          <w:p w14:paraId="233C78BE" w14:textId="77777777" w:rsidR="001B2981" w:rsidRPr="001B2981" w:rsidRDefault="001B2981" w:rsidP="001B2981">
            <w:pPr>
              <w:ind w:left="-22"/>
              <w:jc w:val="both"/>
              <w:rPr>
                <w:rFonts w:ascii="Times" w:hAnsi="Times"/>
                <w:color w:val="000000"/>
                <w:lang w:val="en-GB"/>
              </w:rPr>
            </w:pPr>
            <w:r w:rsidRPr="001B2981">
              <w:rPr>
                <w:rFonts w:ascii="Times" w:hAnsi="Times"/>
                <w:color w:val="000000"/>
                <w:lang w:val="en-GB"/>
              </w:rPr>
              <w:t xml:space="preserve">The event triggered measurement reporting delay is defined as the time between an event that will trigger an event triggered measurement report and the point </w:t>
            </w:r>
            <w:r w:rsidRPr="001B2981">
              <w:rPr>
                <w:rFonts w:ascii="Times" w:hAnsi="Times"/>
                <w:color w:val="000000"/>
                <w:highlight w:val="yellow"/>
                <w:lang w:val="en-GB"/>
              </w:rPr>
              <w:t>when the UE starts to transmit the first UL transmission</w:t>
            </w:r>
            <w:r w:rsidRPr="001B2981">
              <w:rPr>
                <w:rFonts w:ascii="Times" w:hAnsi="Times"/>
                <w:color w:val="000000"/>
                <w:lang w:val="en-GB"/>
              </w:rPr>
              <w:t xml:space="preserve"> to report the measurement results over the air interface. This measurement reporting delay excludes a delay which is caused by no UL resources being available for UE to send the measurement report on.</w:t>
            </w:r>
          </w:p>
          <w:p w14:paraId="1E82BECA" w14:textId="4A89CAF8" w:rsidR="00B01A6A" w:rsidRPr="001B2981" w:rsidRDefault="00B01A6A" w:rsidP="00A12913">
            <w:pPr>
              <w:ind w:left="-22"/>
              <w:jc w:val="both"/>
              <w:rPr>
                <w:rFonts w:ascii="Times" w:hAnsi="Times"/>
                <w:color w:val="000000"/>
                <w:lang w:val="en-GB"/>
              </w:rPr>
            </w:pPr>
          </w:p>
        </w:tc>
      </w:tr>
    </w:tbl>
    <w:p w14:paraId="17397317" w14:textId="77777777" w:rsidR="00B01A6A" w:rsidRDefault="00B01A6A" w:rsidP="00B01A6A">
      <w:pPr>
        <w:ind w:left="360"/>
        <w:jc w:val="both"/>
      </w:pPr>
    </w:p>
    <w:p w14:paraId="5603B3EF" w14:textId="2C7C41A1" w:rsidR="0026076C" w:rsidRPr="00894542" w:rsidRDefault="00894542" w:rsidP="00894542">
      <w:pPr>
        <w:ind w:left="360"/>
        <w:jc w:val="both"/>
        <w:rPr>
          <w:lang w:val="en-SE"/>
        </w:rPr>
      </w:pPr>
      <w:r>
        <w:t xml:space="preserve">In the test configuration, using SR as the end point is not verifiable, since the UE can send the SR at any arbitrary time, and the test equipment (TE) cannot determine when the measurement period has actually ended. While using a special purpose SR could be an alternative, </w:t>
      </w:r>
      <w:r w:rsidR="00A022CF">
        <w:t xml:space="preserve">but </w:t>
      </w:r>
      <w:r>
        <w:t xml:space="preserve">not all UEs </w:t>
      </w:r>
      <w:r w:rsidR="00A022CF">
        <w:t xml:space="preserve">may </w:t>
      </w:r>
      <w:r>
        <w:t>support it.</w:t>
      </w:r>
      <w:r w:rsidR="00A022CF">
        <w:t xml:space="preserve"> </w:t>
      </w:r>
      <w:r>
        <w:t>To ensure consistent testing across all UEs, we propose scheduling a DCI with UL grant in every slot once the event is triggered.</w:t>
      </w:r>
    </w:p>
    <w:p w14:paraId="1200E890" w14:textId="63B5BB03" w:rsidR="00B01A6A" w:rsidRDefault="00B01A6A" w:rsidP="00B01A6A">
      <w:pPr>
        <w:pStyle w:val="ListParagraph"/>
        <w:numPr>
          <w:ilvl w:val="0"/>
          <w:numId w:val="29"/>
        </w:numPr>
        <w:rPr>
          <w:b/>
          <w:bCs/>
        </w:rPr>
      </w:pPr>
      <w:r w:rsidRPr="007A621B">
        <w:rPr>
          <w:b/>
          <w:bCs/>
        </w:rPr>
        <w:t xml:space="preserve">RAN4 to </w:t>
      </w:r>
      <w:r w:rsidR="00E6241C">
        <w:rPr>
          <w:b/>
          <w:bCs/>
        </w:rPr>
        <w:t>agree that TE sends DCI in every slot after the event condition is changed in the test.</w:t>
      </w:r>
      <w:r w:rsidRPr="007A621B">
        <w:rPr>
          <w:b/>
          <w:bCs/>
        </w:rPr>
        <w:t xml:space="preserve"> </w:t>
      </w:r>
    </w:p>
    <w:p w14:paraId="1C6E8E1F" w14:textId="2A722C29" w:rsidR="001E1E92" w:rsidRPr="0058127F" w:rsidRDefault="001E1E92" w:rsidP="00785070">
      <w:pPr>
        <w:pStyle w:val="ListParagraph"/>
        <w:spacing w:before="240"/>
        <w:ind w:left="360"/>
        <w:jc w:val="both"/>
        <w:rPr>
          <w:sz w:val="22"/>
          <w:szCs w:val="22"/>
          <w:lang w:val="en-GB"/>
        </w:rPr>
      </w:pPr>
    </w:p>
    <w:bookmarkEnd w:id="2"/>
    <w:bookmarkEnd w:id="3"/>
    <w:p w14:paraId="641D08FF" w14:textId="77777777" w:rsidR="00AD3201" w:rsidRPr="00E253F1" w:rsidRDefault="00AD3201" w:rsidP="003F12BE">
      <w:pPr>
        <w:pStyle w:val="Heading1"/>
        <w:ind w:right="72"/>
        <w:rPr>
          <w:lang w:val="sv-SE"/>
        </w:rPr>
      </w:pPr>
      <w:r w:rsidRPr="00E253F1">
        <w:rPr>
          <w:lang w:val="sv-SE"/>
        </w:rPr>
        <w:t>Summary</w:t>
      </w:r>
    </w:p>
    <w:p w14:paraId="48EF0597" w14:textId="57D6F8DC" w:rsidR="00252AD3" w:rsidRPr="0052662A" w:rsidRDefault="00BD2AAF" w:rsidP="00252AD3">
      <w:r w:rsidRPr="00E253F1">
        <w:rPr>
          <w:sz w:val="22"/>
          <w:szCs w:val="22"/>
          <w:lang w:eastAsia="x-none"/>
        </w:rPr>
        <w:t>The following have been proposed in this contribution.</w:t>
      </w:r>
    </w:p>
    <w:p w14:paraId="3349239F" w14:textId="04E4E6BA" w:rsidR="00B70C81" w:rsidRPr="00E6241C" w:rsidRDefault="00E6241C" w:rsidP="00E6241C">
      <w:pPr>
        <w:pStyle w:val="ListParagraph"/>
        <w:numPr>
          <w:ilvl w:val="0"/>
          <w:numId w:val="30"/>
        </w:numPr>
        <w:rPr>
          <w:b/>
          <w:bCs/>
        </w:rPr>
      </w:pPr>
      <w:r w:rsidRPr="007A621B">
        <w:rPr>
          <w:b/>
          <w:bCs/>
        </w:rPr>
        <w:t xml:space="preserve">RAN4 to </w:t>
      </w:r>
      <w:r>
        <w:rPr>
          <w:b/>
          <w:bCs/>
        </w:rPr>
        <w:t>agree that TE sends DCI in every slot after the event condition is changed in the test.</w:t>
      </w:r>
    </w:p>
    <w:p w14:paraId="66DC32A0" w14:textId="77777777" w:rsidR="00B70C81" w:rsidRPr="00427952" w:rsidRDefault="00B70C81" w:rsidP="0053722F">
      <w:pPr>
        <w:rPr>
          <w:sz w:val="22"/>
          <w:szCs w:val="22"/>
          <w:lang w:val="x-none" w:eastAsia="x-none"/>
        </w:rPr>
      </w:pPr>
    </w:p>
    <w:p w14:paraId="2E101988" w14:textId="77777777" w:rsidR="00504172" w:rsidRPr="001E53B7" w:rsidRDefault="00504172" w:rsidP="00504172">
      <w:pPr>
        <w:pStyle w:val="Heading1"/>
        <w:ind w:right="72"/>
        <w:rPr>
          <w:lang w:val="sv-SE"/>
        </w:rPr>
      </w:pPr>
      <w:r w:rsidRPr="001E53B7">
        <w:rPr>
          <w:lang w:val="sv-SE"/>
        </w:rPr>
        <w:t>References</w:t>
      </w:r>
    </w:p>
    <w:p w14:paraId="70411754" w14:textId="3A5C1A94" w:rsidR="001C1201" w:rsidRDefault="00196337" w:rsidP="004E6E9B">
      <w:pPr>
        <w:rPr>
          <w:lang w:eastAsia="x-none"/>
        </w:rPr>
      </w:pPr>
      <w:r w:rsidRPr="001E53B7">
        <w:rPr>
          <w:lang w:eastAsia="x-none"/>
        </w:rPr>
        <w:t xml:space="preserve">[1] </w:t>
      </w:r>
      <w:r w:rsidR="001C1201">
        <w:rPr>
          <w:lang w:eastAsia="x-none"/>
        </w:rPr>
        <w:tab/>
      </w:r>
      <w:r w:rsidR="001C1201">
        <w:rPr>
          <w:lang w:eastAsia="x-none"/>
        </w:rPr>
        <w:tab/>
      </w:r>
      <w:r w:rsidR="001C1201" w:rsidRPr="001C1201">
        <w:rPr>
          <w:lang w:eastAsia="x-none"/>
        </w:rPr>
        <w:t>R4-2508271, WF on RRM requirements for NR_MIMO_Ph5_Part1, Samsung</w:t>
      </w:r>
    </w:p>
    <w:p w14:paraId="2B612FC8" w14:textId="23741CC4" w:rsidR="0007605B" w:rsidRDefault="0007605B" w:rsidP="004E6E9B">
      <w:pPr>
        <w:rPr>
          <w:lang w:eastAsia="x-none"/>
        </w:rPr>
      </w:pPr>
      <w:r>
        <w:rPr>
          <w:lang w:eastAsia="x-none"/>
        </w:rPr>
        <w:t>[2]</w:t>
      </w:r>
      <w:r>
        <w:rPr>
          <w:lang w:eastAsia="x-none"/>
        </w:rPr>
        <w:tab/>
      </w:r>
      <w:r>
        <w:rPr>
          <w:lang w:eastAsia="x-none"/>
        </w:rPr>
        <w:tab/>
      </w:r>
      <w:r w:rsidRPr="0007605B">
        <w:rPr>
          <w:lang w:eastAsia="x-none"/>
        </w:rPr>
        <w:t>R4-2507014, On RRM performance aspects and test cases for MIMO Ph 5, Ericsson</w:t>
      </w:r>
    </w:p>
    <w:p w14:paraId="61073DE1" w14:textId="77777777" w:rsidR="0089763B" w:rsidRDefault="001C1201" w:rsidP="004E6E9B">
      <w:pPr>
        <w:rPr>
          <w:lang w:eastAsia="x-none"/>
        </w:rPr>
      </w:pPr>
      <w:r>
        <w:rPr>
          <w:lang w:eastAsia="x-none"/>
        </w:rPr>
        <w:t>[</w:t>
      </w:r>
      <w:r w:rsidR="0007605B">
        <w:rPr>
          <w:lang w:eastAsia="x-none"/>
        </w:rPr>
        <w:t>3</w:t>
      </w:r>
      <w:r>
        <w:rPr>
          <w:lang w:eastAsia="x-none"/>
        </w:rPr>
        <w:t>]</w:t>
      </w:r>
      <w:r>
        <w:rPr>
          <w:lang w:eastAsia="x-none"/>
        </w:rPr>
        <w:tab/>
      </w:r>
      <w:r>
        <w:rPr>
          <w:lang w:eastAsia="x-none"/>
        </w:rPr>
        <w:tab/>
      </w:r>
      <w:r w:rsidR="0089763B" w:rsidRPr="0089763B">
        <w:rPr>
          <w:lang w:eastAsia="x-none"/>
        </w:rPr>
        <w:t>R4-250xxxx, Discussion on CJTC reporting and asymmetric UL TRP requirements, Ericsson</w:t>
      </w:r>
    </w:p>
    <w:p w14:paraId="0111CF5B" w14:textId="344A0B98" w:rsidR="004E6E9B" w:rsidRDefault="0089763B" w:rsidP="004E6E9B">
      <w:pPr>
        <w:rPr>
          <w:lang w:eastAsia="x-none"/>
        </w:rPr>
      </w:pPr>
      <w:r>
        <w:rPr>
          <w:lang w:eastAsia="x-none"/>
        </w:rPr>
        <w:t>[4]</w:t>
      </w:r>
      <w:r>
        <w:rPr>
          <w:lang w:eastAsia="x-none"/>
        </w:rPr>
        <w:tab/>
      </w:r>
      <w:r>
        <w:rPr>
          <w:lang w:eastAsia="x-none"/>
        </w:rPr>
        <w:tab/>
      </w:r>
      <w:r w:rsidR="00870D47">
        <w:rPr>
          <w:lang w:eastAsia="x-none"/>
        </w:rPr>
        <w:t>R4-2317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E685" w14:textId="77777777" w:rsidR="0052338E" w:rsidRDefault="0052338E">
      <w:r>
        <w:separator/>
      </w:r>
    </w:p>
  </w:endnote>
  <w:endnote w:type="continuationSeparator" w:id="0">
    <w:p w14:paraId="7B3C05EC" w14:textId="77777777" w:rsidR="0052338E" w:rsidRDefault="0052338E">
      <w:r>
        <w:continuationSeparator/>
      </w:r>
    </w:p>
  </w:endnote>
  <w:endnote w:type="continuationNotice" w:id="1">
    <w:p w14:paraId="7708376E" w14:textId="77777777" w:rsidR="0052338E" w:rsidRDefault="00523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FC217" w14:textId="77777777" w:rsidR="0052338E" w:rsidRDefault="0052338E">
      <w:r>
        <w:separator/>
      </w:r>
    </w:p>
  </w:footnote>
  <w:footnote w:type="continuationSeparator" w:id="0">
    <w:p w14:paraId="34811EA1" w14:textId="77777777" w:rsidR="0052338E" w:rsidRDefault="0052338E">
      <w:r>
        <w:continuationSeparator/>
      </w:r>
    </w:p>
  </w:footnote>
  <w:footnote w:type="continuationNotice" w:id="1">
    <w:p w14:paraId="64356436" w14:textId="77777777" w:rsidR="0052338E" w:rsidRDefault="00523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D5A2D"/>
    <w:multiLevelType w:val="hybridMultilevel"/>
    <w:tmpl w:val="3A148C94"/>
    <w:lvl w:ilvl="0" w:tplc="9F925638">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9EF3EA7"/>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D47019B"/>
    <w:multiLevelType w:val="hybridMultilevel"/>
    <w:tmpl w:val="1B0E472A"/>
    <w:lvl w:ilvl="0" w:tplc="FFFFFFFF">
      <w:start w:val="1"/>
      <w:numFmt w:val="decimal"/>
      <w:lvlText w:val="Proposal %1:"/>
      <w:lvlJc w:val="left"/>
      <w:pPr>
        <w:ind w:left="3762" w:hanging="360"/>
      </w:pPr>
      <w:rPr>
        <w:rFonts w:hint="default"/>
        <w:b/>
        <w:bCs/>
      </w:rPr>
    </w:lvl>
    <w:lvl w:ilvl="1" w:tplc="FFFFFFFF" w:tentative="1">
      <w:start w:val="1"/>
      <w:numFmt w:val="lowerLetter"/>
      <w:lvlText w:val="%2."/>
      <w:lvlJc w:val="left"/>
      <w:pPr>
        <w:ind w:left="4482" w:hanging="360"/>
      </w:pPr>
    </w:lvl>
    <w:lvl w:ilvl="2" w:tplc="FFFFFFFF" w:tentative="1">
      <w:start w:val="1"/>
      <w:numFmt w:val="lowerRoman"/>
      <w:lvlText w:val="%3."/>
      <w:lvlJc w:val="right"/>
      <w:pPr>
        <w:ind w:left="5202" w:hanging="180"/>
      </w:pPr>
    </w:lvl>
    <w:lvl w:ilvl="3" w:tplc="FFFFFFFF" w:tentative="1">
      <w:start w:val="1"/>
      <w:numFmt w:val="decimal"/>
      <w:lvlText w:val="%4."/>
      <w:lvlJc w:val="left"/>
      <w:pPr>
        <w:ind w:left="5922" w:hanging="360"/>
      </w:pPr>
    </w:lvl>
    <w:lvl w:ilvl="4" w:tplc="FFFFFFFF" w:tentative="1">
      <w:start w:val="1"/>
      <w:numFmt w:val="lowerLetter"/>
      <w:lvlText w:val="%5."/>
      <w:lvlJc w:val="left"/>
      <w:pPr>
        <w:ind w:left="6642" w:hanging="360"/>
      </w:pPr>
    </w:lvl>
    <w:lvl w:ilvl="5" w:tplc="FFFFFFFF" w:tentative="1">
      <w:start w:val="1"/>
      <w:numFmt w:val="lowerRoman"/>
      <w:lvlText w:val="%6."/>
      <w:lvlJc w:val="right"/>
      <w:pPr>
        <w:ind w:left="7362" w:hanging="180"/>
      </w:pPr>
    </w:lvl>
    <w:lvl w:ilvl="6" w:tplc="FFFFFFFF" w:tentative="1">
      <w:start w:val="1"/>
      <w:numFmt w:val="decimal"/>
      <w:lvlText w:val="%7."/>
      <w:lvlJc w:val="left"/>
      <w:pPr>
        <w:ind w:left="8082" w:hanging="360"/>
      </w:pPr>
    </w:lvl>
    <w:lvl w:ilvl="7" w:tplc="FFFFFFFF" w:tentative="1">
      <w:start w:val="1"/>
      <w:numFmt w:val="lowerLetter"/>
      <w:lvlText w:val="%8."/>
      <w:lvlJc w:val="left"/>
      <w:pPr>
        <w:ind w:left="8802" w:hanging="360"/>
      </w:pPr>
    </w:lvl>
    <w:lvl w:ilvl="8" w:tplc="FFFFFFFF" w:tentative="1">
      <w:start w:val="1"/>
      <w:numFmt w:val="lowerRoman"/>
      <w:lvlText w:val="%9."/>
      <w:lvlJc w:val="right"/>
      <w:pPr>
        <w:ind w:left="9522" w:hanging="180"/>
      </w:pPr>
    </w:lvl>
  </w:abstractNum>
  <w:abstractNum w:abstractNumId="26"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2"/>
  </w:num>
  <w:num w:numId="2" w16cid:durableId="1943106378">
    <w:abstractNumId w:val="28"/>
  </w:num>
  <w:num w:numId="3" w16cid:durableId="11735331">
    <w:abstractNumId w:val="27"/>
  </w:num>
  <w:num w:numId="4" w16cid:durableId="1102259893">
    <w:abstractNumId w:val="14"/>
  </w:num>
  <w:num w:numId="5" w16cid:durableId="530342860">
    <w:abstractNumId w:val="16"/>
  </w:num>
  <w:num w:numId="6" w16cid:durableId="2130512404">
    <w:abstractNumId w:val="1"/>
  </w:num>
  <w:num w:numId="7" w16cid:durableId="272589911">
    <w:abstractNumId w:val="0"/>
  </w:num>
  <w:num w:numId="8" w16cid:durableId="1396777579">
    <w:abstractNumId w:val="29"/>
  </w:num>
  <w:num w:numId="9" w16cid:durableId="1238323227">
    <w:abstractNumId w:val="6"/>
  </w:num>
  <w:num w:numId="10" w16cid:durableId="1688098728">
    <w:abstractNumId w:val="10"/>
  </w:num>
  <w:num w:numId="11" w16cid:durableId="1103568600">
    <w:abstractNumId w:val="11"/>
  </w:num>
  <w:num w:numId="12" w16cid:durableId="558443032">
    <w:abstractNumId w:val="4"/>
  </w:num>
  <w:num w:numId="13" w16cid:durableId="1319651858">
    <w:abstractNumId w:val="20"/>
  </w:num>
  <w:num w:numId="14" w16cid:durableId="745690022">
    <w:abstractNumId w:val="23"/>
  </w:num>
  <w:num w:numId="15" w16cid:durableId="1385642063">
    <w:abstractNumId w:val="18"/>
  </w:num>
  <w:num w:numId="16" w16cid:durableId="1734235544">
    <w:abstractNumId w:val="3"/>
  </w:num>
  <w:num w:numId="17" w16cid:durableId="1483698250">
    <w:abstractNumId w:val="2"/>
  </w:num>
  <w:num w:numId="18" w16cid:durableId="1620797287">
    <w:abstractNumId w:val="9"/>
  </w:num>
  <w:num w:numId="19" w16cid:durableId="627853004">
    <w:abstractNumId w:val="12"/>
  </w:num>
  <w:num w:numId="20" w16cid:durableId="213199988">
    <w:abstractNumId w:val="8"/>
  </w:num>
  <w:num w:numId="21" w16cid:durableId="605963514">
    <w:abstractNumId w:val="24"/>
  </w:num>
  <w:num w:numId="22" w16cid:durableId="2077242417">
    <w:abstractNumId w:val="7"/>
  </w:num>
  <w:num w:numId="23" w16cid:durableId="1152868998">
    <w:abstractNumId w:val="17"/>
  </w:num>
  <w:num w:numId="24" w16cid:durableId="500387317">
    <w:abstractNumId w:val="15"/>
  </w:num>
  <w:num w:numId="25" w16cid:durableId="451704285">
    <w:abstractNumId w:val="26"/>
  </w:num>
  <w:num w:numId="26" w16cid:durableId="1241061675">
    <w:abstractNumId w:val="25"/>
  </w:num>
  <w:num w:numId="27" w16cid:durableId="2075199968">
    <w:abstractNumId w:val="21"/>
  </w:num>
  <w:num w:numId="28" w16cid:durableId="1738093496">
    <w:abstractNumId w:val="19"/>
  </w:num>
  <w:num w:numId="29" w16cid:durableId="1319961436">
    <w:abstractNumId w:val="5"/>
  </w:num>
  <w:num w:numId="30" w16cid:durableId="1479960034">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0DBE"/>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981"/>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10"/>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AD3"/>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76C"/>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97E29"/>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6B47"/>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D03"/>
    <w:rsid w:val="00430E0F"/>
    <w:rsid w:val="00430F19"/>
    <w:rsid w:val="004310D3"/>
    <w:rsid w:val="00431567"/>
    <w:rsid w:val="004315C6"/>
    <w:rsid w:val="0043161A"/>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77"/>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1D5"/>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8E"/>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FBF"/>
    <w:rsid w:val="00585FE5"/>
    <w:rsid w:val="005865C2"/>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10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B98"/>
    <w:rsid w:val="005E4DB9"/>
    <w:rsid w:val="005E4DEA"/>
    <w:rsid w:val="005E4F3A"/>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4D1"/>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831"/>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B5"/>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6F97"/>
    <w:rsid w:val="007B7141"/>
    <w:rsid w:val="007B7279"/>
    <w:rsid w:val="007B74A6"/>
    <w:rsid w:val="007B7592"/>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CCE"/>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3A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542"/>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81"/>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16"/>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299"/>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7A"/>
    <w:rsid w:val="009B4C9D"/>
    <w:rsid w:val="009B4EA0"/>
    <w:rsid w:val="009B51D1"/>
    <w:rsid w:val="009B5500"/>
    <w:rsid w:val="009B5DA8"/>
    <w:rsid w:val="009B6112"/>
    <w:rsid w:val="009B62C9"/>
    <w:rsid w:val="009B6C2A"/>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82E"/>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2CF"/>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7E5"/>
    <w:rsid w:val="00A8683F"/>
    <w:rsid w:val="00A86D55"/>
    <w:rsid w:val="00A86F6F"/>
    <w:rsid w:val="00A8764C"/>
    <w:rsid w:val="00A87CED"/>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036"/>
    <w:rsid w:val="00AC71B2"/>
    <w:rsid w:val="00AC7891"/>
    <w:rsid w:val="00AC79D2"/>
    <w:rsid w:val="00AC7A70"/>
    <w:rsid w:val="00AC7AAD"/>
    <w:rsid w:val="00AC7D0D"/>
    <w:rsid w:val="00AC7DF5"/>
    <w:rsid w:val="00AC7F6C"/>
    <w:rsid w:val="00AD016E"/>
    <w:rsid w:val="00AD05A0"/>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589"/>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CB"/>
    <w:rsid w:val="00AE04F8"/>
    <w:rsid w:val="00AE0562"/>
    <w:rsid w:val="00AE0727"/>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6A"/>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6A9"/>
    <w:rsid w:val="00B22909"/>
    <w:rsid w:val="00B22D2A"/>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10F7"/>
    <w:rsid w:val="00B6133D"/>
    <w:rsid w:val="00B61F1A"/>
    <w:rsid w:val="00B62237"/>
    <w:rsid w:val="00B62521"/>
    <w:rsid w:val="00B6368C"/>
    <w:rsid w:val="00B637CE"/>
    <w:rsid w:val="00B6409B"/>
    <w:rsid w:val="00B6442F"/>
    <w:rsid w:val="00B64B08"/>
    <w:rsid w:val="00B64B5A"/>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227"/>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D05"/>
    <w:rsid w:val="00BA5F72"/>
    <w:rsid w:val="00BA5FCC"/>
    <w:rsid w:val="00BA6FED"/>
    <w:rsid w:val="00BA7047"/>
    <w:rsid w:val="00BA7245"/>
    <w:rsid w:val="00BA7494"/>
    <w:rsid w:val="00BA749E"/>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0F31"/>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B98"/>
    <w:rsid w:val="00CA1229"/>
    <w:rsid w:val="00CA13A3"/>
    <w:rsid w:val="00CA1472"/>
    <w:rsid w:val="00CA171A"/>
    <w:rsid w:val="00CA1A00"/>
    <w:rsid w:val="00CA1BA8"/>
    <w:rsid w:val="00CA22C1"/>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F70"/>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4AD"/>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53"/>
    <w:rsid w:val="00DA4E69"/>
    <w:rsid w:val="00DA5036"/>
    <w:rsid w:val="00DA594E"/>
    <w:rsid w:val="00DA5FAB"/>
    <w:rsid w:val="00DA6112"/>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1FE"/>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A08"/>
    <w:rsid w:val="00DF4BB9"/>
    <w:rsid w:val="00DF4CE7"/>
    <w:rsid w:val="00DF4D82"/>
    <w:rsid w:val="00DF5174"/>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56"/>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41C"/>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58"/>
    <w:rsid w:val="00F03D92"/>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0FB2"/>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DE8"/>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7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BF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062506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5994189">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625134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3309994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1441651">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240F0-52EC-4979-BF61-CB2FF77C9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9A257CAF-A268-40D5-8617-DB9A10A48908}">
  <ds:schemaRefs>
    <ds:schemaRef ds:uri="9b239327-9e80-40e4-b1b7-4394fed77a33"/>
    <ds:schemaRef ds:uri="http://schemas.microsoft.com/office/2006/metadata/properties"/>
    <ds:schemaRef ds:uri="http://schemas.microsoft.com/office/2006/documentManagement/types"/>
    <ds:schemaRef ds:uri="http://schemas.microsoft.com/sharepoint/v3"/>
    <ds:schemaRef ds:uri="http://schemas.microsoft.com/office/infopath/2007/PartnerControls"/>
    <ds:schemaRef ds:uri="http://purl.org/dc/elements/1.1/"/>
    <ds:schemaRef ds:uri="http://purl.org/dc/terms/"/>
    <ds:schemaRef ds:uri="2f282d3b-eb4a-4b09-b61f-b9593442e286"/>
    <ds:schemaRef ds:uri="http://purl.org/dc/dcmitype/"/>
    <ds:schemaRef ds:uri="http://schemas.openxmlformats.org/package/2006/metadata/core-properties"/>
    <ds:schemaRef ds:uri="d8762117-8292-4133-b1c7-eab5c6487cfd"/>
    <ds:schemaRef ds:uri="http://www.w3.org/XML/1998/namespace"/>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347</TotalTime>
  <Pages>1</Pages>
  <Words>350</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191</cp:revision>
  <cp:lastPrinted>2025-05-09T09:09:00Z</cp:lastPrinted>
  <dcterms:created xsi:type="dcterms:W3CDTF">2025-05-06T04:30:00Z</dcterms:created>
  <dcterms:modified xsi:type="dcterms:W3CDTF">2025-11-07T17:07:00Z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